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 w:val="26"/>
          <w:szCs w:val="26"/>
        </w:rPr>
      </w:pPr>
      <w:r>
        <w:rPr>
          <w:rFonts w:ascii="Times New Roman" w:hAnsi="Times New Roman" w:eastAsia="Calibri"/>
          <w:b/>
          <w:caps/>
          <w:sz w:val="26"/>
          <w:szCs w:val="26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 w:val="26"/>
          <w:szCs w:val="26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 w:val="26"/>
          <w:szCs w:val="26"/>
        </w:rPr>
      </w:r>
      <w:r>
        <w:rPr>
          <w:rFonts w:ascii="Times New Roman" w:hAnsi="Times New Roman" w:eastAsia="Calibri"/>
          <w:b/>
          <w:caps/>
          <w:sz w:val="26"/>
          <w:szCs w:val="26"/>
        </w:rPr>
      </w:r>
    </w:p>
    <w:p>
      <w:pPr>
        <w:numPr>
          <w:ilvl w:val="0"/>
          <w:numId w:val="1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841"/>
        <w:tblW w:w="9952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558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/п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1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ОКПД2 42.21.22.120 Выполнение работ по капитальному ремонту разводящих тепловых сетей г. Артем, Приморский край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1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11037008-РЕМ ПРОД-2026-ДГК-ПТС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1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НМЦ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558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lang w:val="en-US"/>
              </w:rPr>
              <w:t xml:space="preserve">30 466 409</w:t>
            </w:r>
            <w:r>
              <w:rPr>
                <w:rFonts w:ascii="Times New Roman" w:hAnsi="Times New Roman" w:eastAsia="Calibri"/>
                <w:sz w:val="26"/>
                <w:szCs w:val="26"/>
                <w:lang w:val="en-US"/>
              </w:rPr>
              <w:t xml:space="preserve">, 00 </w:t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руб</w:t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</w:tbl>
    <w:p>
      <w:pPr>
        <w:numPr>
          <w:ilvl w:val="0"/>
          <w:numId w:val="1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ind w:left="360"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Ресурсно-индексный метод</w:t>
      </w:r>
      <w:bookmarkStart w:id="0" w:name="_GoBack"/>
      <w:r/>
      <w:bookmarkEnd w:id="0"/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ind w:left="360"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 </w:t>
      </w:r>
      <w:r>
        <w:rPr>
          <w:rFonts w:ascii="Times New Roman" w:hAnsi="Times New Roman" w:eastAsia="Calibri"/>
          <w:sz w:val="26"/>
          <w:szCs w:val="26"/>
        </w:rPr>
        <w:t xml:space="preserve">прилагаемый сводный сметный расчет </w:t>
      </w:r>
      <w:r>
        <w:rPr>
          <w:rFonts w:ascii="Times New Roman" w:hAnsi="Times New Roman" w:eastAsia="Calibri"/>
          <w:sz w:val="26"/>
          <w:szCs w:val="26"/>
        </w:rPr>
        <w:t xml:space="preserve">(Приложение №4 к Техническим требованиям</w:t>
      </w:r>
      <w:r>
        <w:rPr>
          <w:rFonts w:ascii="Times New Roman" w:hAnsi="Times New Roman" w:eastAsia="Calibri"/>
          <w:sz w:val="26"/>
          <w:szCs w:val="26"/>
        </w:rPr>
        <w:t xml:space="preserve">)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</w:r>
      <w:r>
        <w:rPr>
          <w:rFonts w:asciiTheme="minorHAnsi" w:hAnsiTheme="minorHAnsi"/>
          <w:sz w:val="26"/>
          <w:szCs w:val="26"/>
        </w:rPr>
      </w:r>
      <w:r>
        <w:rPr>
          <w:rFonts w:asciiTheme="minorHAnsi" w:hAnsiTheme="minorHAnsi"/>
          <w:sz w:val="26"/>
          <w:szCs w:val="26"/>
        </w:rPr>
      </w:r>
    </w:p>
    <w:p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</w:r>
      <w:r>
        <w:rPr>
          <w:rFonts w:asciiTheme="minorHAnsi" w:hAnsiTheme="minorHAnsi"/>
          <w:sz w:val="26"/>
          <w:szCs w:val="26"/>
        </w:rPr>
      </w:r>
      <w:r>
        <w:rPr>
          <w:rFonts w:asciiTheme="minorHAnsi" w:hAnsiTheme="minorHAnsi"/>
          <w:sz w:val="26"/>
          <w:szCs w:val="26"/>
        </w:rPr>
      </w:r>
    </w:p>
    <w:p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</w:r>
      <w:r>
        <w:rPr>
          <w:rFonts w:asciiTheme="minorHAnsi" w:hAnsiTheme="minorHAnsi"/>
          <w:sz w:val="26"/>
          <w:szCs w:val="26"/>
        </w:rPr>
      </w:r>
      <w:r>
        <w:rPr>
          <w:rFonts w:asciiTheme="minorHAnsi" w:hAnsiTheme="minorHAnsi"/>
          <w:sz w:val="26"/>
          <w:szCs w:val="26"/>
        </w:rPr>
      </w:r>
    </w:p>
    <w:p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</w:r>
      <w:r>
        <w:rPr>
          <w:rFonts w:asciiTheme="minorHAnsi" w:hAnsiTheme="minorHAnsi"/>
          <w:sz w:val="26"/>
          <w:szCs w:val="26"/>
        </w:rPr>
      </w:r>
      <w:r>
        <w:rPr>
          <w:rFonts w:asciiTheme="minorHAnsi" w:hAnsiTheme="minorHAnsi"/>
          <w:sz w:val="26"/>
          <w:szCs w:val="26"/>
        </w:rPr>
      </w:r>
    </w:p>
    <w:sectPr>
      <w:footnotePr/>
      <w:endnotePr/>
      <w:type w:val="nextPage"/>
      <w:pgSz w:w="11906" w:h="16838" w:orient="portrait"/>
      <w:pgMar w:top="567" w:right="73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Geneva">
    <w:panose1 w:val="02000603000000000000"/>
  </w:font>
  <w:font w:name="Times New Roman">
    <w:panose1 w:val="02020603050405020304"/>
  </w:font>
  <w:font w:name="Geneva CY">
    <w:panose1 w:val="02000603000000000000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7"/>
    <w:next w:val="837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38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37"/>
    <w:next w:val="837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38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38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38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38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38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38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7"/>
    <w:next w:val="837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38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7"/>
    <w:next w:val="837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38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37"/>
    <w:next w:val="837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38"/>
    <w:link w:val="683"/>
    <w:uiPriority w:val="10"/>
    <w:rPr>
      <w:sz w:val="48"/>
      <w:szCs w:val="48"/>
    </w:rPr>
  </w:style>
  <w:style w:type="paragraph" w:styleId="685">
    <w:name w:val="Subtitle"/>
    <w:basedOn w:val="837"/>
    <w:next w:val="837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38"/>
    <w:link w:val="685"/>
    <w:uiPriority w:val="11"/>
    <w:rPr>
      <w:sz w:val="24"/>
      <w:szCs w:val="24"/>
    </w:rPr>
  </w:style>
  <w:style w:type="paragraph" w:styleId="687">
    <w:name w:val="Quote"/>
    <w:basedOn w:val="837"/>
    <w:next w:val="837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7"/>
    <w:next w:val="837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3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basedOn w:val="838"/>
    <w:link w:val="691"/>
    <w:uiPriority w:val="99"/>
  </w:style>
  <w:style w:type="paragraph" w:styleId="693">
    <w:name w:val="Footer"/>
    <w:basedOn w:val="837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38"/>
    <w:link w:val="693"/>
    <w:uiPriority w:val="99"/>
  </w:style>
  <w:style w:type="paragraph" w:styleId="695">
    <w:name w:val="Caption"/>
    <w:basedOn w:val="837"/>
    <w:next w:val="837"/>
    <w:link w:val="6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693"/>
    <w:uiPriority w:val="99"/>
  </w:style>
  <w:style w:type="table" w:styleId="697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Footnote Text Char"/>
    <w:link w:val="845"/>
    <w:uiPriority w:val="99"/>
    <w:rPr>
      <w:sz w:val="18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8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  <w:pPr>
      <w:spacing w:after="0" w:line="240" w:lineRule="auto"/>
    </w:pPr>
    <w:rPr>
      <w:rFonts w:ascii="Geneva CY" w:hAnsi="Geneva CY" w:eastAsia="Geneva" w:cs="Times New Roman"/>
      <w:sz w:val="24"/>
      <w:szCs w:val="20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table" w:styleId="841" w:customStyle="1">
    <w:name w:val="Сетка таблицы1"/>
    <w:basedOn w:val="839"/>
    <w:next w:val="842"/>
    <w:uiPriority w:val="59"/>
    <w:pPr>
      <w:jc w:val="both"/>
      <w:spacing w:after="0" w:line="240" w:lineRule="auto"/>
    </w:pPr>
    <w:rPr>
      <w:rFonts w:ascii="Times New Roman" w:hAnsi="Times New Roman" w:eastAsia="Calibri" w:cs="Times New Roman"/>
      <w:sz w:val="26"/>
      <w:szCs w:val="26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2">
    <w:name w:val="Table Grid"/>
    <w:basedOn w:val="83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3">
    <w:name w:val="List Paragraph"/>
    <w:basedOn w:val="837"/>
    <w:uiPriority w:val="34"/>
    <w:qFormat/>
    <w:pPr>
      <w:contextualSpacing/>
      <w:ind w:left="720"/>
    </w:pPr>
  </w:style>
  <w:style w:type="character" w:styleId="844">
    <w:name w:val="Hyperlink"/>
    <w:basedOn w:val="838"/>
    <w:uiPriority w:val="99"/>
    <w:semiHidden/>
    <w:unhideWhenUsed/>
    <w:rPr>
      <w:color w:val="0000ff" w:themeColor="hyperlink"/>
      <w:u w:val="single"/>
    </w:rPr>
  </w:style>
  <w:style w:type="paragraph" w:styleId="845">
    <w:name w:val="footnote text"/>
    <w:basedOn w:val="837"/>
    <w:link w:val="846"/>
    <w:uiPriority w:val="99"/>
    <w:unhideWhenUsed/>
    <w:qFormat/>
    <w:rPr>
      <w:sz w:val="20"/>
    </w:rPr>
  </w:style>
  <w:style w:type="character" w:styleId="846" w:customStyle="1">
    <w:name w:val="Текст сноски Знак"/>
    <w:basedOn w:val="838"/>
    <w:link w:val="845"/>
    <w:uiPriority w:val="99"/>
    <w:rPr>
      <w:rFonts w:ascii="Geneva CY" w:hAnsi="Geneva CY" w:eastAsia="Geneva" w:cs="Times New Roman"/>
      <w:sz w:val="20"/>
      <w:szCs w:val="20"/>
    </w:rPr>
  </w:style>
  <w:style w:type="character" w:styleId="847">
    <w:name w:val="footnote reference"/>
    <w:basedOn w:val="838"/>
    <w:uiPriority w:val="99"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Буевич</dc:creator>
  <cp:keywords/>
  <dc:description/>
  <cp:lastModifiedBy>evstratenko_av</cp:lastModifiedBy>
  <cp:revision>28</cp:revision>
  <dcterms:created xsi:type="dcterms:W3CDTF">2021-10-29T04:32:00Z</dcterms:created>
  <dcterms:modified xsi:type="dcterms:W3CDTF">2026-02-19T01:57:31Z</dcterms:modified>
</cp:coreProperties>
</file>